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E929" w14:textId="6FC921F7" w:rsidR="00734F19" w:rsidRPr="0052764D" w:rsidRDefault="000E0C79" w:rsidP="00734F19">
      <w:r>
        <w:t>AY20-21</w:t>
      </w:r>
    </w:p>
    <w:p w14:paraId="199E875C" w14:textId="7A9C8742" w:rsidR="00D51FA2" w:rsidRPr="00872B15" w:rsidRDefault="00D51FA2" w:rsidP="001E1294">
      <w:pPr>
        <w:ind w:left="720" w:hanging="720"/>
        <w:rPr>
          <w:b/>
        </w:rPr>
      </w:pPr>
      <w:r w:rsidRPr="00872B15">
        <w:rPr>
          <w:b/>
        </w:rPr>
        <w:t xml:space="preserve">To: </w:t>
      </w:r>
      <w:r w:rsidRPr="00872B15">
        <w:rPr>
          <w:b/>
        </w:rPr>
        <w:tab/>
        <w:t xml:space="preserve">Program representatives of the </w:t>
      </w:r>
      <w:r w:rsidR="004147D4" w:rsidRPr="004147D4">
        <w:rPr>
          <w:b/>
          <w:bCs/>
          <w:highlight w:val="yellow"/>
        </w:rPr>
        <w:t>PROGRAM</w:t>
      </w:r>
      <w:r w:rsidR="004147D4">
        <w:rPr>
          <w:b/>
          <w:bCs/>
        </w:rPr>
        <w:t xml:space="preserve"> </w:t>
      </w:r>
    </w:p>
    <w:p w14:paraId="71BB8533" w14:textId="69377D7D" w:rsidR="00D51FA2" w:rsidRPr="00872B15" w:rsidRDefault="00D51FA2" w:rsidP="001E1294">
      <w:pPr>
        <w:ind w:left="720" w:hanging="720"/>
        <w:rPr>
          <w:b/>
        </w:rPr>
      </w:pPr>
      <w:r w:rsidRPr="00872B15">
        <w:rPr>
          <w:b/>
        </w:rPr>
        <w:t xml:space="preserve">From: </w:t>
      </w:r>
      <w:r w:rsidR="004147D4" w:rsidRPr="004147D4">
        <w:rPr>
          <w:b/>
          <w:highlight w:val="yellow"/>
        </w:rPr>
        <w:t>UAC REPRESENTATIVES</w:t>
      </w:r>
      <w:r>
        <w:rPr>
          <w:b/>
        </w:rPr>
        <w:t xml:space="preserve"> </w:t>
      </w:r>
      <w:r w:rsidRPr="00872B15">
        <w:rPr>
          <w:b/>
        </w:rPr>
        <w:t>on behalf of the University Assessment Council</w:t>
      </w:r>
    </w:p>
    <w:p w14:paraId="392A8B8B" w14:textId="799529FE" w:rsidR="004147D4" w:rsidRDefault="00D51FA2" w:rsidP="001E1294">
      <w:pPr>
        <w:ind w:left="720" w:hanging="720"/>
        <w:rPr>
          <w:b/>
          <w:bCs/>
        </w:rPr>
      </w:pPr>
      <w:r w:rsidRPr="00872B15">
        <w:rPr>
          <w:b/>
        </w:rPr>
        <w:t>Re:</w:t>
      </w:r>
      <w:r w:rsidRPr="00872B15">
        <w:rPr>
          <w:b/>
        </w:rPr>
        <w:tab/>
        <w:t>Feedback from the University Assessment Council on the AY20</w:t>
      </w:r>
      <w:r w:rsidR="002C644C">
        <w:rPr>
          <w:b/>
        </w:rPr>
        <w:t>20</w:t>
      </w:r>
      <w:r w:rsidR="002D3D77">
        <w:rPr>
          <w:b/>
        </w:rPr>
        <w:t>-202</w:t>
      </w:r>
      <w:r w:rsidR="002C644C">
        <w:rPr>
          <w:b/>
        </w:rPr>
        <w:t>1</w:t>
      </w:r>
      <w:r w:rsidRPr="00872B15">
        <w:rPr>
          <w:b/>
        </w:rPr>
        <w:t xml:space="preserve"> Assessment Plan for the </w:t>
      </w:r>
      <w:r w:rsidR="004147D4" w:rsidRPr="004147D4">
        <w:rPr>
          <w:b/>
          <w:bCs/>
          <w:highlight w:val="yellow"/>
        </w:rPr>
        <w:t>PROGRAM</w:t>
      </w:r>
      <w:r w:rsidR="004147D4">
        <w:rPr>
          <w:b/>
          <w:bCs/>
        </w:rPr>
        <w:t xml:space="preserve"> </w:t>
      </w:r>
    </w:p>
    <w:p w14:paraId="32F3AD34" w14:textId="0587E719" w:rsidR="0017385C" w:rsidRPr="00C17FB2" w:rsidRDefault="00C17FB2" w:rsidP="001E1294">
      <w:pPr>
        <w:ind w:left="720" w:hanging="720"/>
        <w:rPr>
          <w:b/>
        </w:rPr>
      </w:pPr>
      <w:r w:rsidRPr="00C17FB2">
        <w:rPr>
          <w:b/>
        </w:rPr>
        <w:t>Date:</w:t>
      </w:r>
      <w:r w:rsidRPr="00C17FB2">
        <w:rPr>
          <w:b/>
        </w:rPr>
        <w:tab/>
      </w:r>
      <w:r w:rsidR="002C644C">
        <w:rPr>
          <w:b/>
        </w:rPr>
        <w:t>August</w:t>
      </w:r>
      <w:r w:rsidR="002D3D77">
        <w:rPr>
          <w:b/>
        </w:rPr>
        <w:t xml:space="preserve"> </w:t>
      </w:r>
      <w:r w:rsidR="002C644C">
        <w:rPr>
          <w:b/>
        </w:rPr>
        <w:t>2021</w:t>
      </w:r>
      <w:bookmarkStart w:id="0" w:name="_GoBack"/>
      <w:bookmarkEnd w:id="0"/>
    </w:p>
    <w:p w14:paraId="527D7DBD" w14:textId="77777777" w:rsidR="00C17FB2" w:rsidRDefault="00C17FB2" w:rsidP="00734F19">
      <w:pPr>
        <w:rPr>
          <w:u w:val="single"/>
        </w:rPr>
      </w:pPr>
    </w:p>
    <w:p w14:paraId="7954CB69" w14:textId="1F6A77AA" w:rsidR="0017385C" w:rsidRPr="0017385C" w:rsidRDefault="0017385C" w:rsidP="00734F19">
      <w:pPr>
        <w:rPr>
          <w:u w:val="single"/>
        </w:rPr>
      </w:pPr>
      <w:r w:rsidRPr="0017385C">
        <w:rPr>
          <w:u w:val="single"/>
        </w:rPr>
        <w:t>Overview:</w:t>
      </w:r>
    </w:p>
    <w:p w14:paraId="7C2B115A" w14:textId="77777777" w:rsidR="002C644C" w:rsidRDefault="00E86CC9" w:rsidP="00C82181">
      <w:r>
        <w:t xml:space="preserve">To </w:t>
      </w:r>
      <w:r w:rsidR="002C644C">
        <w:t>recognize good assessment practice and expand their use</w:t>
      </w:r>
      <w:r>
        <w:t xml:space="preserve"> </w:t>
      </w:r>
      <w:r w:rsidR="002C644C">
        <w:t>in</w:t>
      </w:r>
      <w:r>
        <w:t xml:space="preserve"> Wayne State</w:t>
      </w:r>
      <w:r w:rsidR="002C644C">
        <w:t xml:space="preserve"> programs</w:t>
      </w:r>
      <w:r>
        <w:t xml:space="preserve">, </w:t>
      </w:r>
      <w:r w:rsidR="00734F19" w:rsidRPr="0052764D">
        <w:t xml:space="preserve">the University Assessment Council </w:t>
      </w:r>
      <w:r>
        <w:t xml:space="preserve">undertakes various activities. One of them is </w:t>
      </w:r>
      <w:proofErr w:type="gramStart"/>
      <w:r>
        <w:t>to annually review</w:t>
      </w:r>
      <w:proofErr w:type="gramEnd"/>
      <w:r>
        <w:t xml:space="preserve"> the quality of assessment </w:t>
      </w:r>
      <w:r w:rsidR="00C666A1">
        <w:t>practices</w:t>
      </w:r>
      <w:r>
        <w:t xml:space="preserve"> of </w:t>
      </w:r>
      <w:r w:rsidR="00C82181">
        <w:t xml:space="preserve">a </w:t>
      </w:r>
      <w:r w:rsidR="00734F19" w:rsidRPr="0052764D">
        <w:t xml:space="preserve">sample of program assessment plans from across all </w:t>
      </w:r>
      <w:r w:rsidR="00C666A1">
        <w:t>c</w:t>
      </w:r>
      <w:r w:rsidR="00734F19" w:rsidRPr="0052764D">
        <w:t xml:space="preserve">olleges and </w:t>
      </w:r>
      <w:r w:rsidR="00C666A1">
        <w:t>s</w:t>
      </w:r>
      <w:r w:rsidR="00734F19" w:rsidRPr="0052764D">
        <w:t>chools as well as from Student Services</w:t>
      </w:r>
      <w:r w:rsidR="00734F19">
        <w:t xml:space="preserve"> programs</w:t>
      </w:r>
      <w:r w:rsidR="00734F19" w:rsidRPr="0052764D">
        <w:t xml:space="preserve">. </w:t>
      </w:r>
    </w:p>
    <w:p w14:paraId="1EB64D9A" w14:textId="51EFEB84" w:rsidR="00E86CC9" w:rsidRDefault="00C82181" w:rsidP="00C82181">
      <w:r w:rsidRPr="0052764D">
        <w:t xml:space="preserve">This review is </w:t>
      </w:r>
      <w:r w:rsidRPr="002C644C">
        <w:rPr>
          <w:u w:val="single"/>
        </w:rPr>
        <w:t>not</w:t>
      </w:r>
      <w:r w:rsidRPr="0052764D">
        <w:t xml:space="preserve"> an evaluation of program</w:t>
      </w:r>
      <w:r>
        <w:t xml:space="preserve"> quality</w:t>
      </w:r>
      <w:r w:rsidRPr="0052764D">
        <w:t xml:space="preserve"> or of anyone participating in </w:t>
      </w:r>
      <w:r>
        <w:t>those</w:t>
      </w:r>
      <w:r w:rsidRPr="0052764D">
        <w:t xml:space="preserve"> program</w:t>
      </w:r>
      <w:r>
        <w:t>s</w:t>
      </w:r>
      <w:r w:rsidRPr="0052764D">
        <w:t xml:space="preserve">. It </w:t>
      </w:r>
      <w:proofErr w:type="gramStart"/>
      <w:r w:rsidRPr="0052764D">
        <w:t>i</w:t>
      </w:r>
      <w:r>
        <w:t>s solely focused</w:t>
      </w:r>
      <w:proofErr w:type="gramEnd"/>
      <w:r>
        <w:t xml:space="preserve"> on the program</w:t>
      </w:r>
      <w:r w:rsidRPr="0052764D">
        <w:t>s</w:t>
      </w:r>
      <w:r>
        <w:t>’</w:t>
      </w:r>
      <w:r w:rsidRPr="0052764D">
        <w:t xml:space="preserve"> assessment plan</w:t>
      </w:r>
      <w:r>
        <w:t>s</w:t>
      </w:r>
      <w:r w:rsidRPr="0052764D">
        <w:t>.</w:t>
      </w:r>
    </w:p>
    <w:p w14:paraId="3EA18882" w14:textId="77777777" w:rsidR="00E86CC9" w:rsidRDefault="00E86CC9" w:rsidP="00734F19">
      <w:r>
        <w:t>The goals of the review are to:</w:t>
      </w:r>
    </w:p>
    <w:p w14:paraId="36F6A4D1" w14:textId="43607B77" w:rsidR="002C644C" w:rsidRDefault="002C644C" w:rsidP="00E86CC9">
      <w:pPr>
        <w:pStyle w:val="ListParagraph"/>
        <w:numPr>
          <w:ilvl w:val="0"/>
          <w:numId w:val="21"/>
        </w:numPr>
      </w:pPr>
      <w:r>
        <w:t>celebrate programs’ good assessment practices</w:t>
      </w:r>
    </w:p>
    <w:p w14:paraId="139DE850" w14:textId="3CCD9C6C" w:rsidR="00E86CC9" w:rsidRDefault="00C82181" w:rsidP="00E86CC9">
      <w:pPr>
        <w:pStyle w:val="ListParagraph"/>
        <w:numPr>
          <w:ilvl w:val="0"/>
          <w:numId w:val="21"/>
        </w:numPr>
      </w:pPr>
      <w:r>
        <w:t>e</w:t>
      </w:r>
      <w:r w:rsidR="00B956A0">
        <w:t xml:space="preserve">ngage programs in dialogue to </w:t>
      </w:r>
      <w:r w:rsidR="00E86CC9">
        <w:t xml:space="preserve">help </w:t>
      </w:r>
      <w:r w:rsidR="00B956A0">
        <w:t>them</w:t>
      </w:r>
      <w:r w:rsidR="00E86CC9">
        <w:t xml:space="preserve"> refine their assessment practices and make them more useful</w:t>
      </w:r>
    </w:p>
    <w:p w14:paraId="6D804429" w14:textId="6847FE94" w:rsidR="00B956A0" w:rsidRDefault="00B956A0" w:rsidP="00E86CC9">
      <w:pPr>
        <w:pStyle w:val="ListParagraph"/>
        <w:numPr>
          <w:ilvl w:val="0"/>
          <w:numId w:val="21"/>
        </w:numPr>
      </w:pPr>
      <w:r>
        <w:t>model good assessment practices through the use of a rubric, data analysis, action, and reporting</w:t>
      </w:r>
    </w:p>
    <w:p w14:paraId="0B3CA48E" w14:textId="26BE4C42" w:rsidR="00E86CC9" w:rsidRDefault="00E86CC9" w:rsidP="00E86CC9">
      <w:pPr>
        <w:pStyle w:val="ListParagraph"/>
        <w:numPr>
          <w:ilvl w:val="0"/>
          <w:numId w:val="21"/>
        </w:numPr>
      </w:pPr>
      <w:r>
        <w:t>gather evidence of the current state of assessment on campus to guide the council’s own work, and</w:t>
      </w:r>
    </w:p>
    <w:p w14:paraId="2E88D524" w14:textId="26941B30" w:rsidR="00E86CC9" w:rsidRDefault="00E86CC9" w:rsidP="00E86CC9">
      <w:pPr>
        <w:pStyle w:val="ListParagraph"/>
        <w:numPr>
          <w:ilvl w:val="0"/>
          <w:numId w:val="21"/>
        </w:numPr>
      </w:pPr>
      <w:proofErr w:type="gramStart"/>
      <w:r>
        <w:t>report</w:t>
      </w:r>
      <w:proofErr w:type="gramEnd"/>
      <w:r>
        <w:t xml:space="preserve"> </w:t>
      </w:r>
      <w:r w:rsidR="00B956A0">
        <w:t xml:space="preserve">that evidence </w:t>
      </w:r>
      <w:r>
        <w:t>to the Higher Learning Commission as part of our institutional accreditation.</w:t>
      </w:r>
    </w:p>
    <w:p w14:paraId="5A75D6B6" w14:textId="28856349" w:rsidR="00D15472" w:rsidRDefault="00FA7E09" w:rsidP="00734F19">
      <w:r>
        <w:t xml:space="preserve">The sample </w:t>
      </w:r>
      <w:r w:rsidR="00B956A0">
        <w:t xml:space="preserve">of reviewed programs </w:t>
      </w:r>
      <w:r>
        <w:t xml:space="preserve">includes programs that are at the midpoint of their Academic Program Review cycle </w:t>
      </w:r>
      <w:r w:rsidR="00B956A0">
        <w:t>plus</w:t>
      </w:r>
      <w:r>
        <w:t xml:space="preserve"> programs randoml</w:t>
      </w:r>
      <w:r w:rsidR="00B956A0">
        <w:t>y selected from the list of 350</w:t>
      </w:r>
      <w:r>
        <w:t xml:space="preserve"> programs responsible for annual program assessment. (</w:t>
      </w:r>
      <w:r w:rsidR="00C666A1">
        <w:t xml:space="preserve">Programs reviewed in previous </w:t>
      </w:r>
      <w:r w:rsidR="00A76AE4">
        <w:t xml:space="preserve">cycles </w:t>
      </w:r>
      <w:proofErr w:type="gramStart"/>
      <w:r w:rsidR="00A76AE4">
        <w:t>are removed</w:t>
      </w:r>
      <w:proofErr w:type="gramEnd"/>
      <w:r w:rsidR="00A76AE4">
        <w:t xml:space="preserve"> from the selection pool.) </w:t>
      </w:r>
      <w:r w:rsidR="00C82181">
        <w:t>The final count of reviewed programs represents a 10% sample.</w:t>
      </w:r>
    </w:p>
    <w:p w14:paraId="60E8F1D4" w14:textId="7C230774" w:rsidR="006E5D27" w:rsidRPr="0052764D" w:rsidRDefault="00FA7E09" w:rsidP="006E5D27">
      <w:r>
        <w:t>Your program was one of those selected for review</w:t>
      </w:r>
      <w:r w:rsidR="00C666A1">
        <w:t xml:space="preserve"> in 20</w:t>
      </w:r>
      <w:r w:rsidR="002C644C">
        <w:t>20</w:t>
      </w:r>
      <w:r w:rsidR="00B956A0">
        <w:t>-20</w:t>
      </w:r>
      <w:r w:rsidR="00C666A1">
        <w:t>2</w:t>
      </w:r>
      <w:r w:rsidR="002C644C">
        <w:t>1</w:t>
      </w:r>
      <w:r w:rsidR="0031578B">
        <w:t xml:space="preserve">, our </w:t>
      </w:r>
      <w:r w:rsidR="002C644C">
        <w:t>seventh</w:t>
      </w:r>
      <w:r w:rsidR="0031578B">
        <w:t xml:space="preserve"> year for measuring the quality of assessment </w:t>
      </w:r>
      <w:r w:rsidR="00C666A1">
        <w:t>practices</w:t>
      </w:r>
      <w:r w:rsidR="0031578B">
        <w:t xml:space="preserve"> at Wayne State.</w:t>
      </w:r>
      <w:r w:rsidR="0031578B" w:rsidRPr="00B5319D">
        <w:t xml:space="preserve"> </w:t>
      </w:r>
      <w:r w:rsidR="006E5D27" w:rsidRPr="0052764D">
        <w:t xml:space="preserve">We </w:t>
      </w:r>
      <w:r w:rsidR="006E5D27">
        <w:t>appreciate</w:t>
      </w:r>
      <w:r w:rsidR="006E5D27" w:rsidRPr="0052764D">
        <w:t xml:space="preserve"> your work on program assessment and </w:t>
      </w:r>
      <w:r w:rsidR="006E5D27">
        <w:t>the</w:t>
      </w:r>
      <w:r w:rsidR="006E5D27" w:rsidRPr="0052764D">
        <w:t xml:space="preserve"> dedicatio</w:t>
      </w:r>
      <w:r w:rsidR="006E5D27">
        <w:t>n to improving student learn</w:t>
      </w:r>
      <w:r w:rsidR="002C644C">
        <w:t xml:space="preserve">ing that your efforts represent. We </w:t>
      </w:r>
      <w:r>
        <w:t>hope this process stimulates helpful, productive conversations about student learning outcomes and assessment.</w:t>
      </w:r>
    </w:p>
    <w:p w14:paraId="44D81EB9" w14:textId="77777777" w:rsidR="00A777C7" w:rsidRDefault="00A777C7" w:rsidP="00734F19">
      <w:pPr>
        <w:rPr>
          <w:u w:val="single"/>
        </w:rPr>
      </w:pPr>
    </w:p>
    <w:p w14:paraId="7AF25F9F" w14:textId="77777777" w:rsidR="002C644C" w:rsidRDefault="002C644C">
      <w:pPr>
        <w:rPr>
          <w:u w:val="single"/>
        </w:rPr>
      </w:pPr>
      <w:r>
        <w:rPr>
          <w:u w:val="single"/>
        </w:rPr>
        <w:br w:type="page"/>
      </w:r>
    </w:p>
    <w:p w14:paraId="211572A1" w14:textId="54667DBB" w:rsidR="0017385C" w:rsidRPr="0017385C" w:rsidRDefault="0017385C" w:rsidP="00734F19">
      <w:pPr>
        <w:rPr>
          <w:u w:val="single"/>
        </w:rPr>
      </w:pPr>
      <w:r w:rsidRPr="0017385C">
        <w:rPr>
          <w:u w:val="single"/>
        </w:rPr>
        <w:lastRenderedPageBreak/>
        <w:t>Process and purpose:</w:t>
      </w:r>
    </w:p>
    <w:p w14:paraId="25D7164C" w14:textId="2366DCF4" w:rsidR="0017385C" w:rsidRDefault="00C666A1" w:rsidP="00734F19">
      <w:r>
        <w:t xml:space="preserve">For </w:t>
      </w:r>
      <w:r w:rsidR="002C644C">
        <w:t>AY20-21</w:t>
      </w:r>
      <w:r w:rsidR="00C82181">
        <w:t>, a 10% sample of all assessment plans (n=3</w:t>
      </w:r>
      <w:r w:rsidR="002C644C">
        <w:t>5</w:t>
      </w:r>
      <w:r w:rsidR="00C82181">
        <w:t xml:space="preserve">) were downloaded </w:t>
      </w:r>
      <w:r>
        <w:t xml:space="preserve">in early </w:t>
      </w:r>
      <w:r w:rsidR="002C644C">
        <w:t>July</w:t>
      </w:r>
      <w:r>
        <w:t xml:space="preserve"> 202</w:t>
      </w:r>
      <w:r w:rsidR="002C644C">
        <w:t>1</w:t>
      </w:r>
      <w:r w:rsidR="0017385C">
        <w:t>, and reviewed by randomly assigned University Assessment Council representatives</w:t>
      </w:r>
      <w:r w:rsidR="0003736F">
        <w:t xml:space="preserve"> </w:t>
      </w:r>
      <w:r w:rsidR="00907656">
        <w:t xml:space="preserve">and faculty and staff volunteers </w:t>
      </w:r>
      <w:r>
        <w:t>following</w:t>
      </w:r>
      <w:r w:rsidR="0003736F">
        <w:t xml:space="preserve"> training and norming session</w:t>
      </w:r>
      <w:r>
        <w:t>s</w:t>
      </w:r>
      <w:r w:rsidR="0017385C">
        <w:t xml:space="preserve">. </w:t>
      </w:r>
      <w:r w:rsidR="006E5D27">
        <w:t xml:space="preserve">You may have submitted information to </w:t>
      </w:r>
      <w:r w:rsidR="00C82181">
        <w:t>Planning</w:t>
      </w:r>
      <w:r w:rsidR="006E5D27">
        <w:t xml:space="preserve"> after the download date; we look forward to hearing about that work during our conversation about this report.</w:t>
      </w:r>
    </w:p>
    <w:p w14:paraId="3683363C" w14:textId="322C728D" w:rsidR="00734F19" w:rsidRPr="0052764D" w:rsidRDefault="001C7A32" w:rsidP="00734F19">
      <w:r>
        <w:t>Reviewers read</w:t>
      </w:r>
      <w:r w:rsidR="00734F19">
        <w:t xml:space="preserve"> </w:t>
      </w:r>
      <w:r>
        <w:t xml:space="preserve">and scored </w:t>
      </w:r>
      <w:r w:rsidR="00734F19">
        <w:t xml:space="preserve">each section of the assigned assessment plans using the </w:t>
      </w:r>
      <w:hyperlink r:id="rId7" w:history="1">
        <w:r w:rsidR="002C644C">
          <w:rPr>
            <w:rStyle w:val="Hyperlink"/>
          </w:rPr>
          <w:t>Assessment Plan Feedback Rubric</w:t>
        </w:r>
      </w:hyperlink>
      <w:r w:rsidR="00734F19">
        <w:t>, which describes current best practices for each section of the plan</w:t>
      </w:r>
      <w:r>
        <w:t>. The rubric</w:t>
      </w:r>
      <w:r w:rsidR="00734F19">
        <w:t xml:space="preserve"> defines </w:t>
      </w:r>
      <w:r w:rsidR="00C82181">
        <w:t>four points on the scale</w:t>
      </w:r>
      <w:r w:rsidR="00734F19">
        <w:t xml:space="preserve">: </w:t>
      </w:r>
      <w:r w:rsidR="00734F19" w:rsidRPr="00173B1A">
        <w:rPr>
          <w:b/>
        </w:rPr>
        <w:t>Reflects best practices</w:t>
      </w:r>
      <w:r w:rsidR="00C82181">
        <w:rPr>
          <w:b/>
        </w:rPr>
        <w:t xml:space="preserve"> (3)</w:t>
      </w:r>
      <w:r w:rsidR="00734F19">
        <w:t xml:space="preserve">, </w:t>
      </w:r>
      <w:r w:rsidR="00734F19" w:rsidRPr="00173B1A">
        <w:rPr>
          <w:b/>
        </w:rPr>
        <w:t xml:space="preserve">Meets </w:t>
      </w:r>
      <w:proofErr w:type="gramStart"/>
      <w:r w:rsidR="00734F19" w:rsidRPr="00173B1A">
        <w:rPr>
          <w:b/>
        </w:rPr>
        <w:t>standards</w:t>
      </w:r>
      <w:r w:rsidR="00C82181">
        <w:rPr>
          <w:b/>
        </w:rPr>
        <w:t>(</w:t>
      </w:r>
      <w:proofErr w:type="gramEnd"/>
      <w:r w:rsidR="00C82181">
        <w:rPr>
          <w:b/>
        </w:rPr>
        <w:t>2)</w:t>
      </w:r>
      <w:r w:rsidR="00734F19">
        <w:t xml:space="preserve">, </w:t>
      </w:r>
      <w:r w:rsidR="00734F19" w:rsidRPr="00173B1A">
        <w:rPr>
          <w:b/>
        </w:rPr>
        <w:t>Needs development</w:t>
      </w:r>
      <w:r w:rsidR="00C82181">
        <w:rPr>
          <w:b/>
        </w:rPr>
        <w:t xml:space="preserve"> (1)</w:t>
      </w:r>
      <w:r w:rsidR="00C82181">
        <w:t xml:space="preserve">, and </w:t>
      </w:r>
      <w:r w:rsidR="00C82181">
        <w:rPr>
          <w:b/>
        </w:rPr>
        <w:t>Not submitted (0)</w:t>
      </w:r>
      <w:r w:rsidR="00734F19">
        <w:t xml:space="preserve">. </w:t>
      </w:r>
    </w:p>
    <w:p w14:paraId="26768998" w14:textId="2E715539" w:rsidR="006E5D27" w:rsidRPr="0052764D" w:rsidRDefault="00FA7E09" w:rsidP="00FA7E09">
      <w:r w:rsidRPr="0052764D">
        <w:t xml:space="preserve">The </w:t>
      </w:r>
      <w:r>
        <w:t>report</w:t>
      </w:r>
      <w:r w:rsidRPr="0052764D">
        <w:t xml:space="preserve"> </w:t>
      </w:r>
      <w:r>
        <w:t xml:space="preserve">below </w:t>
      </w:r>
      <w:r w:rsidRPr="0052764D">
        <w:t xml:space="preserve">includes a score for </w:t>
      </w:r>
      <w:r>
        <w:t>the individual sections</w:t>
      </w:r>
      <w:r w:rsidRPr="0052764D">
        <w:t xml:space="preserve"> of </w:t>
      </w:r>
      <w:r>
        <w:t>your</w:t>
      </w:r>
      <w:r w:rsidRPr="0052764D">
        <w:t xml:space="preserve"> assessment plan</w:t>
      </w:r>
      <w:r>
        <w:t xml:space="preserve">, an overall score, </w:t>
      </w:r>
      <w:proofErr w:type="gramStart"/>
      <w:r>
        <w:t>a</w:t>
      </w:r>
      <w:proofErr w:type="gramEnd"/>
      <w:r>
        <w:t xml:space="preserve"> comparison to performance across all reviewed plans, and</w:t>
      </w:r>
      <w:r w:rsidRPr="0052764D">
        <w:t xml:space="preserve"> any comments the </w:t>
      </w:r>
      <w:r>
        <w:t>reviewers</w:t>
      </w:r>
      <w:r w:rsidRPr="0052764D">
        <w:t xml:space="preserve"> </w:t>
      </w:r>
      <w:r>
        <w:t>submitted</w:t>
      </w:r>
      <w:r w:rsidRPr="0052764D">
        <w:t>.</w:t>
      </w:r>
    </w:p>
    <w:p w14:paraId="2C896443" w14:textId="1F351242" w:rsidR="006E5D27" w:rsidRPr="0052764D" w:rsidRDefault="006E5D27" w:rsidP="006E5D27">
      <w:r w:rsidRPr="0052764D">
        <w:t xml:space="preserve">Your University Assessment Council representative </w:t>
      </w:r>
      <w:r w:rsidR="00B60DED">
        <w:t xml:space="preserve">and WSU’s Director of Assessment will schedule a meeting to </w:t>
      </w:r>
      <w:r w:rsidRPr="0052764D">
        <w:t xml:space="preserve">discuss the </w:t>
      </w:r>
      <w:r w:rsidR="00FA7E09">
        <w:t>report</w:t>
      </w:r>
      <w:r w:rsidRPr="0052764D">
        <w:t xml:space="preserve"> with you, and will provide a copy </w:t>
      </w:r>
      <w:r w:rsidR="00C666A1">
        <w:t xml:space="preserve">of the report </w:t>
      </w:r>
      <w:r w:rsidRPr="0052764D">
        <w:t>for you</w:t>
      </w:r>
      <w:r>
        <w:t>r</w:t>
      </w:r>
      <w:r w:rsidRPr="0052764D">
        <w:t xml:space="preserve"> records. </w:t>
      </w:r>
      <w:r w:rsidR="00B60DED">
        <w:t xml:space="preserve">Please feel free to bring any questions you have about assessment to the meeting; it </w:t>
      </w:r>
      <w:proofErr w:type="gramStart"/>
      <w:r w:rsidR="00B60DED">
        <w:t>is intended</w:t>
      </w:r>
      <w:proofErr w:type="gramEnd"/>
      <w:r w:rsidR="00B60DED">
        <w:t xml:space="preserve"> to be a conversation that supports your assessment practices.</w:t>
      </w:r>
    </w:p>
    <w:p w14:paraId="779DB141" w14:textId="77777777" w:rsidR="006E5D27" w:rsidRDefault="006E5D27" w:rsidP="00734F19"/>
    <w:p w14:paraId="2EC67BBA" w14:textId="2A7D7729" w:rsidR="004147D4" w:rsidRDefault="006E5D27" w:rsidP="00734F19">
      <w:pPr>
        <w:rPr>
          <w:b/>
          <w:bCs/>
        </w:rPr>
      </w:pPr>
      <w:r w:rsidRPr="00872B15">
        <w:rPr>
          <w:b/>
        </w:rPr>
        <w:t>SUMMARY: Feedback on the AY20</w:t>
      </w:r>
      <w:r w:rsidR="000E0C79">
        <w:rPr>
          <w:b/>
        </w:rPr>
        <w:t>-21</w:t>
      </w:r>
      <w:r w:rsidR="00C666A1">
        <w:rPr>
          <w:b/>
        </w:rPr>
        <w:t xml:space="preserve"> </w:t>
      </w:r>
      <w:r w:rsidRPr="00872B15">
        <w:rPr>
          <w:b/>
        </w:rPr>
        <w:t xml:space="preserve">Assessment Plan for </w:t>
      </w:r>
      <w:r w:rsidR="004147D4" w:rsidRPr="004147D4">
        <w:rPr>
          <w:b/>
          <w:bCs/>
          <w:highlight w:val="yellow"/>
        </w:rPr>
        <w:t>PROGRAM</w:t>
      </w:r>
      <w:r w:rsidR="004147D4">
        <w:rPr>
          <w:b/>
          <w:bCs/>
        </w:rPr>
        <w:t xml:space="preserve"> </w:t>
      </w:r>
    </w:p>
    <w:p w14:paraId="1294D0CE" w14:textId="5CDD3EFE" w:rsidR="00734F19" w:rsidRPr="0017385C" w:rsidRDefault="00907656" w:rsidP="00734F19">
      <w:pPr>
        <w:rPr>
          <w:b/>
        </w:rPr>
      </w:pPr>
      <w:r>
        <w:t>Since</w:t>
      </w:r>
      <w:r w:rsidR="00734F19" w:rsidRPr="0052764D">
        <w:t xml:space="preserve"> AY201</w:t>
      </w:r>
      <w:r w:rsidR="00734F19">
        <w:t>5</w:t>
      </w:r>
      <w:r w:rsidR="00734F19" w:rsidRPr="0052764D">
        <w:t>-201</w:t>
      </w:r>
      <w:r w:rsidR="00734F19">
        <w:t>6</w:t>
      </w:r>
      <w:r w:rsidR="00734F19" w:rsidRPr="0052764D">
        <w:t xml:space="preserve">, programs </w:t>
      </w:r>
      <w:proofErr w:type="gramStart"/>
      <w:r>
        <w:t>have been</w:t>
      </w:r>
      <w:r w:rsidR="00734F19" w:rsidRPr="0052764D">
        <w:t xml:space="preserve"> asked</w:t>
      </w:r>
      <w:proofErr w:type="gramEnd"/>
      <w:r w:rsidR="00734F19" w:rsidRPr="0052764D">
        <w:t xml:space="preserve"> to submit the following documentation</w:t>
      </w:r>
      <w:r w:rsidR="00FA7E09">
        <w:t xml:space="preserve"> </w:t>
      </w:r>
      <w:r w:rsidR="00C666A1">
        <w:t>annually</w:t>
      </w:r>
      <w:r w:rsidR="00734F19" w:rsidRPr="0052764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4F19" w14:paraId="5FCA8391" w14:textId="77777777" w:rsidTr="00110FD2">
        <w:tc>
          <w:tcPr>
            <w:tcW w:w="4675" w:type="dxa"/>
          </w:tcPr>
          <w:p w14:paraId="721B3B43" w14:textId="77777777" w:rsidR="00734F19" w:rsidRDefault="00734F19" w:rsidP="00110FD2">
            <w:pPr>
              <w:pStyle w:val="ListParagraph"/>
              <w:numPr>
                <w:ilvl w:val="0"/>
                <w:numId w:val="2"/>
              </w:numPr>
              <w:ind w:left="157" w:hanging="157"/>
            </w:pPr>
            <w:r w:rsidRPr="0052764D">
              <w:t>1 mission statement</w:t>
            </w:r>
          </w:p>
          <w:p w14:paraId="19BD5DAC" w14:textId="77777777" w:rsidR="00734F19" w:rsidRPr="0052764D" w:rsidRDefault="00734F19" w:rsidP="00110FD2">
            <w:pPr>
              <w:pStyle w:val="ListParagraph"/>
              <w:numPr>
                <w:ilvl w:val="0"/>
                <w:numId w:val="2"/>
              </w:numPr>
              <w:ind w:left="157" w:hanging="157"/>
            </w:pPr>
            <w:r>
              <w:t>4</w:t>
            </w:r>
            <w:r w:rsidRPr="0052764D">
              <w:t xml:space="preserve"> learning outcomes for academic programs/ </w:t>
            </w:r>
            <w:r>
              <w:t xml:space="preserve">4 </w:t>
            </w:r>
            <w:r w:rsidRPr="0052764D">
              <w:t>learning or program outcomes for student services programs</w:t>
            </w:r>
          </w:p>
          <w:p w14:paraId="10BF4B5B" w14:textId="77777777" w:rsidR="00734F19" w:rsidRPr="0052764D" w:rsidRDefault="00734F19" w:rsidP="00110FD2">
            <w:pPr>
              <w:pStyle w:val="ListParagraph"/>
              <w:numPr>
                <w:ilvl w:val="0"/>
                <w:numId w:val="2"/>
              </w:numPr>
              <w:ind w:left="157" w:hanging="157"/>
            </w:pPr>
            <w:r w:rsidRPr="0052764D">
              <w:t>1 curriculum map (optional for student services programs)</w:t>
            </w:r>
          </w:p>
          <w:p w14:paraId="15BA9A8F" w14:textId="77777777" w:rsidR="00734F19" w:rsidRDefault="00734F19" w:rsidP="00110FD2">
            <w:pPr>
              <w:pStyle w:val="ListParagraph"/>
              <w:numPr>
                <w:ilvl w:val="0"/>
                <w:numId w:val="2"/>
              </w:numPr>
              <w:ind w:left="157" w:hanging="157"/>
            </w:pPr>
            <w:r>
              <w:t>2</w:t>
            </w:r>
            <w:r w:rsidRPr="0052764D">
              <w:t xml:space="preserve"> assessment method</w:t>
            </w:r>
            <w:r>
              <w:t>s</w:t>
            </w:r>
          </w:p>
        </w:tc>
        <w:tc>
          <w:tcPr>
            <w:tcW w:w="4675" w:type="dxa"/>
          </w:tcPr>
          <w:p w14:paraId="32C811C7" w14:textId="77777777" w:rsidR="00734F19" w:rsidRPr="0052764D" w:rsidRDefault="00734F19" w:rsidP="00110FD2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2</w:t>
            </w:r>
            <w:r w:rsidRPr="0052764D">
              <w:t xml:space="preserve"> set of results </w:t>
            </w:r>
          </w:p>
          <w:p w14:paraId="405ED11D" w14:textId="77777777" w:rsidR="00734F19" w:rsidRPr="0052764D" w:rsidRDefault="00734F19" w:rsidP="00110FD2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2</w:t>
            </w:r>
            <w:r w:rsidRPr="0052764D">
              <w:t xml:space="preserve"> action plan</w:t>
            </w:r>
            <w:r>
              <w:t>s</w:t>
            </w:r>
          </w:p>
          <w:p w14:paraId="10892CDD" w14:textId="77777777" w:rsidR="00734F19" w:rsidRPr="0052764D" w:rsidRDefault="00734F19" w:rsidP="00110FD2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2</w:t>
            </w:r>
            <w:r w:rsidRPr="0052764D">
              <w:t xml:space="preserve"> timeline</w:t>
            </w:r>
            <w:r>
              <w:t>s</w:t>
            </w:r>
            <w:r w:rsidRPr="0052764D">
              <w:t xml:space="preserve"> for implementing the action plan</w:t>
            </w:r>
            <w:r>
              <w:t>s</w:t>
            </w:r>
          </w:p>
          <w:p w14:paraId="798AE044" w14:textId="4643ECB5" w:rsidR="00734F19" w:rsidRPr="00C666A1" w:rsidRDefault="00907656" w:rsidP="000435C1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 w:rsidRPr="00C666A1">
              <w:t>1 report to stakeholders</w:t>
            </w:r>
          </w:p>
        </w:tc>
      </w:tr>
    </w:tbl>
    <w:p w14:paraId="00221B92" w14:textId="77777777" w:rsidR="000E0C79" w:rsidRDefault="000E0C79" w:rsidP="00FA7E09"/>
    <w:p w14:paraId="0493868C" w14:textId="06658814" w:rsidR="00592E00" w:rsidRDefault="00734F19" w:rsidP="00FA7E09">
      <w:pPr>
        <w:rPr>
          <w:sz w:val="22"/>
        </w:rPr>
      </w:pPr>
      <w:r>
        <w:t xml:space="preserve">Items that </w:t>
      </w:r>
      <w:proofErr w:type="gramStart"/>
      <w:r>
        <w:t>were not submitted</w:t>
      </w:r>
      <w:proofErr w:type="gramEnd"/>
      <w:r>
        <w:t xml:space="preserve"> </w:t>
      </w:r>
      <w:r w:rsidR="00FA7E09">
        <w:t>by the download date</w:t>
      </w:r>
      <w:r w:rsidR="00592E00">
        <w:t xml:space="preserve"> we</w:t>
      </w:r>
      <w:r>
        <w:t xml:space="preserve">re scored as “not submitted”. </w:t>
      </w:r>
      <w:r w:rsidR="00FA7E09" w:rsidRPr="00E24EAB">
        <w:rPr>
          <w:sz w:val="22"/>
        </w:rPr>
        <w:t xml:space="preserve">Not all programs submitted every item; </w:t>
      </w:r>
      <w:r w:rsidR="00FA7E09">
        <w:rPr>
          <w:sz w:val="22"/>
        </w:rPr>
        <w:t xml:space="preserve">section </w:t>
      </w:r>
      <w:r w:rsidR="00FA7E09" w:rsidRPr="00E24EAB">
        <w:rPr>
          <w:sz w:val="22"/>
        </w:rPr>
        <w:t xml:space="preserve">ratings </w:t>
      </w:r>
      <w:r w:rsidR="00FA7E09">
        <w:rPr>
          <w:sz w:val="22"/>
        </w:rPr>
        <w:t>reflect only those submitted whereas overall scores reflect all sections.</w:t>
      </w:r>
    </w:p>
    <w:p w14:paraId="5AB9F1BC" w14:textId="6D80761B" w:rsidR="008528F7" w:rsidRPr="0010335A" w:rsidRDefault="008528F7" w:rsidP="008528F7">
      <w:r w:rsidRPr="0010335A">
        <w:t xml:space="preserve">Your program’s results </w:t>
      </w:r>
      <w:proofErr w:type="gramStart"/>
      <w:r w:rsidRPr="0010335A">
        <w:t>are presented in Figure 1</w:t>
      </w:r>
      <w:r w:rsidR="00C666A1">
        <w:t xml:space="preserve"> alongside the university-level averages</w:t>
      </w:r>
      <w:r w:rsidRPr="0010335A">
        <w:t xml:space="preserve"> and </w:t>
      </w:r>
      <w:r w:rsidR="00C666A1">
        <w:t xml:space="preserve">supplemented by reviewer comments in </w:t>
      </w:r>
      <w:r w:rsidRPr="0010335A">
        <w:t>Table 1</w:t>
      </w:r>
      <w:proofErr w:type="gramEnd"/>
      <w:r w:rsidR="00C666A1">
        <w:t xml:space="preserve">. </w:t>
      </w:r>
      <w:r w:rsidR="00284808">
        <w:t>We invite you to</w:t>
      </w:r>
      <w:r w:rsidR="00C666A1">
        <w:t xml:space="preserve"> use these results to engage in dialogue about how well your assessment activities provide information about </w:t>
      </w:r>
      <w:proofErr w:type="gramStart"/>
      <w:r w:rsidR="00C666A1">
        <w:t>programmatic strengths and challenges, and how you might revise the activities to make them more useful or efficient</w:t>
      </w:r>
      <w:proofErr w:type="gramEnd"/>
      <w:r w:rsidR="00C666A1">
        <w:t>.</w:t>
      </w:r>
      <w:r w:rsidRPr="0010335A">
        <w:br w:type="page"/>
      </w:r>
    </w:p>
    <w:p w14:paraId="77A660AF" w14:textId="58494046" w:rsidR="00A777C7" w:rsidRDefault="00A777C7">
      <w:pPr>
        <w:rPr>
          <w:u w:val="single"/>
        </w:rPr>
      </w:pPr>
    </w:p>
    <w:p w14:paraId="53422B3F" w14:textId="77777777" w:rsidR="00A777C7" w:rsidRDefault="00A777C7" w:rsidP="004C3332">
      <w:r>
        <w:rPr>
          <w:noProof/>
        </w:rPr>
        <w:drawing>
          <wp:inline distT="0" distB="0" distL="0" distR="0" wp14:anchorId="064DA786" wp14:editId="369DA013">
            <wp:extent cx="6305550" cy="5486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2BE1C5" w14:textId="77777777" w:rsidR="00A777C7" w:rsidRDefault="00A777C7" w:rsidP="004C3332"/>
    <w:p w14:paraId="69D38B50" w14:textId="58A7098E" w:rsidR="00734F19" w:rsidRPr="0017385C" w:rsidRDefault="0017385C" w:rsidP="00734F19">
      <w:pPr>
        <w:rPr>
          <w:b/>
        </w:rPr>
      </w:pPr>
      <w:r w:rsidRPr="0017385C">
        <w:rPr>
          <w:b/>
        </w:rPr>
        <w:t xml:space="preserve">Table 1: </w:t>
      </w:r>
      <w:r w:rsidR="00B926E0" w:rsidRPr="0017385C">
        <w:rPr>
          <w:b/>
        </w:rPr>
        <w:t xml:space="preserve">Comments </w:t>
      </w:r>
      <w:r w:rsidR="00B926E0">
        <w:rPr>
          <w:b/>
        </w:rPr>
        <w:t>from Reviewers</w:t>
      </w:r>
      <w:r w:rsidRPr="0017385C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200"/>
      </w:tblGrid>
      <w:tr w:rsidR="00734F19" w:rsidRPr="00872B15" w14:paraId="01351BB2" w14:textId="77777777" w:rsidTr="00AF7815">
        <w:tc>
          <w:tcPr>
            <w:tcW w:w="1885" w:type="dxa"/>
            <w:shd w:val="clear" w:color="auto" w:fill="92D050"/>
          </w:tcPr>
          <w:p w14:paraId="73946F00" w14:textId="77777777" w:rsidR="00734F19" w:rsidRPr="00872B15" w:rsidRDefault="00734F19" w:rsidP="00110FD2">
            <w:pPr>
              <w:rPr>
                <w:b/>
              </w:rPr>
            </w:pPr>
            <w:r w:rsidRPr="00872B15">
              <w:rPr>
                <w:b/>
              </w:rPr>
              <w:t>Assessment plan item</w:t>
            </w:r>
          </w:p>
        </w:tc>
        <w:tc>
          <w:tcPr>
            <w:tcW w:w="7200" w:type="dxa"/>
            <w:shd w:val="clear" w:color="auto" w:fill="92D050"/>
          </w:tcPr>
          <w:p w14:paraId="20734545" w14:textId="34EEF1EF" w:rsidR="00734F19" w:rsidRPr="00F139C6" w:rsidRDefault="00AA190E" w:rsidP="00AA190E">
            <w:pPr>
              <w:rPr>
                <w:b/>
              </w:rPr>
            </w:pPr>
            <w:r w:rsidRPr="00F139C6">
              <w:rPr>
                <w:b/>
              </w:rPr>
              <w:t>Comments or suggestions from the reviewers:</w:t>
            </w:r>
          </w:p>
        </w:tc>
      </w:tr>
      <w:tr w:rsidR="00734F19" w:rsidRPr="00196931" w14:paraId="54A92B8E" w14:textId="77777777" w:rsidTr="00AF7815">
        <w:tc>
          <w:tcPr>
            <w:tcW w:w="1885" w:type="dxa"/>
          </w:tcPr>
          <w:p w14:paraId="6D7434E8" w14:textId="77777777" w:rsidR="00734F19" w:rsidRPr="00872B15" w:rsidRDefault="00734F19" w:rsidP="00110FD2">
            <w:pPr>
              <w:rPr>
                <w:b/>
              </w:rPr>
            </w:pPr>
            <w:r w:rsidRPr="00872B15">
              <w:rPr>
                <w:b/>
              </w:rPr>
              <w:t>Mission statement:</w:t>
            </w:r>
          </w:p>
        </w:tc>
        <w:tc>
          <w:tcPr>
            <w:tcW w:w="7200" w:type="dxa"/>
          </w:tcPr>
          <w:p w14:paraId="48A3F2DF" w14:textId="03F01A59" w:rsidR="00F139C6" w:rsidRPr="00F139C6" w:rsidRDefault="00F139C6" w:rsidP="00F139C6">
            <w:pPr>
              <w:pStyle w:val="ListParagraph"/>
              <w:numPr>
                <w:ilvl w:val="0"/>
                <w:numId w:val="3"/>
              </w:numPr>
              <w:ind w:left="252" w:hanging="270"/>
            </w:pPr>
          </w:p>
        </w:tc>
      </w:tr>
      <w:tr w:rsidR="00734F19" w:rsidRPr="00196931" w14:paraId="69C82422" w14:textId="77777777" w:rsidTr="00AF7815">
        <w:tc>
          <w:tcPr>
            <w:tcW w:w="1885" w:type="dxa"/>
          </w:tcPr>
          <w:p w14:paraId="78F8B88E" w14:textId="78A50714" w:rsidR="00734F19" w:rsidRPr="00872B15" w:rsidRDefault="00734F19" w:rsidP="00110FD2">
            <w:pPr>
              <w:rPr>
                <w:b/>
              </w:rPr>
            </w:pPr>
            <w:r w:rsidRPr="00872B15">
              <w:rPr>
                <w:b/>
              </w:rPr>
              <w:t>Learning outcomes:</w:t>
            </w:r>
          </w:p>
        </w:tc>
        <w:tc>
          <w:tcPr>
            <w:tcW w:w="7200" w:type="dxa"/>
          </w:tcPr>
          <w:p w14:paraId="3FB04EB4" w14:textId="2D2F737E" w:rsidR="00734F19" w:rsidRPr="00F139C6" w:rsidRDefault="00734F19" w:rsidP="00110FD2">
            <w:pPr>
              <w:pStyle w:val="ListParagraph"/>
              <w:numPr>
                <w:ilvl w:val="0"/>
                <w:numId w:val="3"/>
              </w:numPr>
              <w:ind w:left="252" w:hanging="270"/>
            </w:pPr>
          </w:p>
        </w:tc>
      </w:tr>
      <w:tr w:rsidR="00734F19" w:rsidRPr="00196931" w14:paraId="6002F481" w14:textId="77777777" w:rsidTr="00AF7815">
        <w:tc>
          <w:tcPr>
            <w:tcW w:w="1885" w:type="dxa"/>
          </w:tcPr>
          <w:p w14:paraId="3E1F16E6" w14:textId="7DEE80C9" w:rsidR="00734F19" w:rsidRPr="00872B15" w:rsidRDefault="00734F19" w:rsidP="00110FD2">
            <w:pPr>
              <w:rPr>
                <w:b/>
              </w:rPr>
            </w:pPr>
            <w:r w:rsidRPr="00872B15">
              <w:rPr>
                <w:b/>
              </w:rPr>
              <w:t>Curriculum map:</w:t>
            </w:r>
          </w:p>
        </w:tc>
        <w:tc>
          <w:tcPr>
            <w:tcW w:w="7200" w:type="dxa"/>
          </w:tcPr>
          <w:p w14:paraId="0FE1AEFE" w14:textId="106E743B" w:rsidR="00F139C6" w:rsidRPr="00F139C6" w:rsidRDefault="00F139C6" w:rsidP="00110FD2">
            <w:pPr>
              <w:pStyle w:val="ListParagraph"/>
              <w:numPr>
                <w:ilvl w:val="0"/>
                <w:numId w:val="3"/>
              </w:numPr>
              <w:ind w:left="252" w:hanging="270"/>
            </w:pPr>
          </w:p>
        </w:tc>
      </w:tr>
      <w:tr w:rsidR="00734F19" w:rsidRPr="00196931" w14:paraId="12564A59" w14:textId="77777777" w:rsidTr="00AF7815">
        <w:tc>
          <w:tcPr>
            <w:tcW w:w="1885" w:type="dxa"/>
          </w:tcPr>
          <w:p w14:paraId="6C6AD579" w14:textId="40ED4EAE" w:rsidR="00734F19" w:rsidRPr="00872B15" w:rsidRDefault="00734F19" w:rsidP="00110FD2">
            <w:pPr>
              <w:rPr>
                <w:b/>
              </w:rPr>
            </w:pPr>
            <w:r w:rsidRPr="00872B15">
              <w:rPr>
                <w:b/>
              </w:rPr>
              <w:t>Assessment methods:</w:t>
            </w:r>
          </w:p>
        </w:tc>
        <w:tc>
          <w:tcPr>
            <w:tcW w:w="7200" w:type="dxa"/>
          </w:tcPr>
          <w:p w14:paraId="7D46707C" w14:textId="786DAB89" w:rsidR="00F139C6" w:rsidRPr="00F139C6" w:rsidRDefault="00F139C6" w:rsidP="00F139C6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color w:val="000000"/>
              </w:rPr>
            </w:pPr>
          </w:p>
        </w:tc>
      </w:tr>
      <w:tr w:rsidR="00734F19" w:rsidRPr="00196931" w14:paraId="5CA51D3E" w14:textId="77777777" w:rsidTr="00AF7815">
        <w:tc>
          <w:tcPr>
            <w:tcW w:w="1885" w:type="dxa"/>
          </w:tcPr>
          <w:p w14:paraId="136EF135" w14:textId="767B52AC" w:rsidR="00734F19" w:rsidRPr="00872B15" w:rsidRDefault="00734F19" w:rsidP="00110FD2">
            <w:pPr>
              <w:rPr>
                <w:b/>
              </w:rPr>
            </w:pPr>
            <w:r w:rsidRPr="00872B15">
              <w:rPr>
                <w:b/>
              </w:rPr>
              <w:lastRenderedPageBreak/>
              <w:t>Results:</w:t>
            </w:r>
          </w:p>
        </w:tc>
        <w:tc>
          <w:tcPr>
            <w:tcW w:w="7200" w:type="dxa"/>
          </w:tcPr>
          <w:p w14:paraId="7A424D87" w14:textId="6B70BD29" w:rsidR="00734F19" w:rsidRPr="00F139C6" w:rsidRDefault="009B1F45" w:rsidP="001972C5">
            <w:pPr>
              <w:pStyle w:val="ListParagraph"/>
              <w:numPr>
                <w:ilvl w:val="0"/>
                <w:numId w:val="3"/>
              </w:numPr>
              <w:ind w:left="252" w:hanging="270"/>
            </w:pPr>
            <w:r>
              <w:t xml:space="preserve">This section </w:t>
            </w:r>
            <w:proofErr w:type="gramStart"/>
            <w:r>
              <w:t>was not submitted</w:t>
            </w:r>
            <w:proofErr w:type="gramEnd"/>
            <w:r>
              <w:t xml:space="preserve"> prior to the download date for the review.</w:t>
            </w:r>
          </w:p>
        </w:tc>
      </w:tr>
      <w:tr w:rsidR="00734F19" w:rsidRPr="00196931" w14:paraId="57B708DA" w14:textId="77777777" w:rsidTr="00AF7815">
        <w:tc>
          <w:tcPr>
            <w:tcW w:w="1885" w:type="dxa"/>
          </w:tcPr>
          <w:p w14:paraId="455FAE43" w14:textId="735D4249" w:rsidR="00734F19" w:rsidRPr="00872B15" w:rsidRDefault="00734F19" w:rsidP="00110FD2">
            <w:pPr>
              <w:rPr>
                <w:b/>
              </w:rPr>
            </w:pPr>
            <w:r w:rsidRPr="00872B15">
              <w:rPr>
                <w:b/>
              </w:rPr>
              <w:t>Action plan:</w:t>
            </w:r>
          </w:p>
        </w:tc>
        <w:tc>
          <w:tcPr>
            <w:tcW w:w="7200" w:type="dxa"/>
          </w:tcPr>
          <w:p w14:paraId="45A14A95" w14:textId="088B49D0" w:rsidR="00734F19" w:rsidRPr="00F139C6" w:rsidRDefault="00734F19" w:rsidP="00110FD2">
            <w:pPr>
              <w:pStyle w:val="ListParagraph"/>
              <w:numPr>
                <w:ilvl w:val="0"/>
                <w:numId w:val="3"/>
              </w:numPr>
              <w:ind w:left="252" w:hanging="270"/>
            </w:pPr>
          </w:p>
        </w:tc>
      </w:tr>
      <w:tr w:rsidR="00734F19" w:rsidRPr="00196931" w14:paraId="5FC1849D" w14:textId="77777777" w:rsidTr="00AF7815">
        <w:tc>
          <w:tcPr>
            <w:tcW w:w="1885" w:type="dxa"/>
          </w:tcPr>
          <w:p w14:paraId="23DB720E" w14:textId="7E33CB29" w:rsidR="00734F19" w:rsidRPr="00872B15" w:rsidRDefault="00734F19" w:rsidP="00110FD2">
            <w:pPr>
              <w:rPr>
                <w:b/>
              </w:rPr>
            </w:pPr>
            <w:r w:rsidRPr="00872B15">
              <w:rPr>
                <w:b/>
              </w:rPr>
              <w:t>Timeline for implementing the action plan</w:t>
            </w:r>
          </w:p>
        </w:tc>
        <w:tc>
          <w:tcPr>
            <w:tcW w:w="7200" w:type="dxa"/>
          </w:tcPr>
          <w:p w14:paraId="34B35B47" w14:textId="629B74E5" w:rsidR="00734F19" w:rsidRPr="00F139C6" w:rsidRDefault="00734F19" w:rsidP="00F139C6">
            <w:pPr>
              <w:pStyle w:val="ListParagraph"/>
              <w:numPr>
                <w:ilvl w:val="0"/>
                <w:numId w:val="19"/>
              </w:numPr>
              <w:ind w:left="342" w:right="90"/>
            </w:pPr>
          </w:p>
        </w:tc>
      </w:tr>
      <w:tr w:rsidR="00734F19" w:rsidRPr="00196931" w14:paraId="0B740512" w14:textId="77777777" w:rsidTr="00AF7815">
        <w:trPr>
          <w:trHeight w:val="134"/>
        </w:trPr>
        <w:tc>
          <w:tcPr>
            <w:tcW w:w="1885" w:type="dxa"/>
          </w:tcPr>
          <w:p w14:paraId="1E09625D" w14:textId="77777777" w:rsidR="00734F19" w:rsidRPr="00872B15" w:rsidRDefault="00734F19" w:rsidP="00110FD2">
            <w:pPr>
              <w:rPr>
                <w:b/>
              </w:rPr>
            </w:pPr>
            <w:r w:rsidRPr="00872B15">
              <w:rPr>
                <w:b/>
              </w:rPr>
              <w:t>Reporting to stakeholders</w:t>
            </w:r>
          </w:p>
        </w:tc>
        <w:tc>
          <w:tcPr>
            <w:tcW w:w="7200" w:type="dxa"/>
          </w:tcPr>
          <w:p w14:paraId="690F4FC4" w14:textId="00E06836" w:rsidR="00F139C6" w:rsidRPr="00F139C6" w:rsidRDefault="00F139C6" w:rsidP="00F139C6">
            <w:pPr>
              <w:pStyle w:val="NormalWeb"/>
              <w:numPr>
                <w:ilvl w:val="0"/>
                <w:numId w:val="3"/>
              </w:numPr>
              <w:ind w:left="342"/>
              <w:rPr>
                <w:color w:val="000000"/>
              </w:rPr>
            </w:pPr>
          </w:p>
        </w:tc>
      </w:tr>
      <w:tr w:rsidR="003538C6" w:rsidRPr="00196931" w14:paraId="1EAE025D" w14:textId="77777777" w:rsidTr="00AF7815">
        <w:trPr>
          <w:trHeight w:val="134"/>
        </w:trPr>
        <w:tc>
          <w:tcPr>
            <w:tcW w:w="1885" w:type="dxa"/>
          </w:tcPr>
          <w:p w14:paraId="70CB69BB" w14:textId="149D7311" w:rsidR="003538C6" w:rsidRPr="00872B15" w:rsidRDefault="003538C6" w:rsidP="00110FD2">
            <w:pPr>
              <w:rPr>
                <w:b/>
              </w:rPr>
            </w:pPr>
            <w:r>
              <w:rPr>
                <w:b/>
              </w:rPr>
              <w:t>Overall comments</w:t>
            </w:r>
          </w:p>
        </w:tc>
        <w:tc>
          <w:tcPr>
            <w:tcW w:w="7200" w:type="dxa"/>
          </w:tcPr>
          <w:p w14:paraId="46A40DB0" w14:textId="5B350D86" w:rsidR="003538C6" w:rsidRPr="00F139C6" w:rsidRDefault="003538C6" w:rsidP="00F139C6">
            <w:pPr>
              <w:pStyle w:val="NormalWeb"/>
              <w:numPr>
                <w:ilvl w:val="0"/>
                <w:numId w:val="3"/>
              </w:numPr>
              <w:ind w:left="342"/>
              <w:rPr>
                <w:color w:val="000000"/>
              </w:rPr>
            </w:pPr>
            <w:r w:rsidRPr="00F139C6">
              <w:t>No reviewer comments submitted</w:t>
            </w:r>
            <w:r w:rsidR="006E4550">
              <w:t>.</w:t>
            </w:r>
          </w:p>
        </w:tc>
      </w:tr>
    </w:tbl>
    <w:p w14:paraId="52AC4DCB" w14:textId="77777777" w:rsidR="00734F19" w:rsidRPr="00196931" w:rsidRDefault="00734F19" w:rsidP="00734F19"/>
    <w:sectPr w:rsidR="00734F19" w:rsidRPr="00196931" w:rsidSect="00CF0087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E1EA7" w14:textId="77777777" w:rsidR="00251D9E" w:rsidRDefault="00D22A1E">
      <w:pPr>
        <w:spacing w:after="0" w:line="240" w:lineRule="auto"/>
      </w:pPr>
      <w:r>
        <w:separator/>
      </w:r>
    </w:p>
  </w:endnote>
  <w:endnote w:type="continuationSeparator" w:id="0">
    <w:p w14:paraId="40D3F5EE" w14:textId="77777777" w:rsidR="00251D9E" w:rsidRDefault="00D2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7D7E1" w14:textId="0F076684" w:rsidR="007262F8" w:rsidRDefault="000E0B2E">
    <w:pPr>
      <w:pStyle w:val="Footer"/>
    </w:pPr>
    <w:r>
      <w:t>AY20-21</w:t>
    </w:r>
    <w:r w:rsidR="00C1064E">
      <w:t xml:space="preserve"> Assessment Plan Review: Report from the University Assessment Council</w:t>
    </w:r>
    <w:r w:rsidR="00C1064E">
      <w:tab/>
    </w:r>
    <w:r w:rsidR="00C1064E">
      <w:fldChar w:fldCharType="begin"/>
    </w:r>
    <w:r w:rsidR="00C1064E">
      <w:instrText xml:space="preserve"> PAGE   \* MERGEFORMAT </w:instrText>
    </w:r>
    <w:r w:rsidR="00C1064E">
      <w:fldChar w:fldCharType="separate"/>
    </w:r>
    <w:r>
      <w:rPr>
        <w:noProof/>
      </w:rPr>
      <w:t>1</w:t>
    </w:r>
    <w:r w:rsidR="00C106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7E9B0" w14:textId="77777777" w:rsidR="00251D9E" w:rsidRDefault="00D22A1E">
      <w:pPr>
        <w:spacing w:after="0" w:line="240" w:lineRule="auto"/>
      </w:pPr>
      <w:r>
        <w:separator/>
      </w:r>
    </w:p>
  </w:footnote>
  <w:footnote w:type="continuationSeparator" w:id="0">
    <w:p w14:paraId="6FA32B5D" w14:textId="77777777" w:rsidR="00251D9E" w:rsidRDefault="00D2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51A"/>
    <w:multiLevelType w:val="hybridMultilevel"/>
    <w:tmpl w:val="DB26E03A"/>
    <w:lvl w:ilvl="0" w:tplc="6F326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2F4F"/>
    <w:multiLevelType w:val="hybridMultilevel"/>
    <w:tmpl w:val="2F74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602"/>
    <w:multiLevelType w:val="hybridMultilevel"/>
    <w:tmpl w:val="7136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15FF"/>
    <w:multiLevelType w:val="hybridMultilevel"/>
    <w:tmpl w:val="FEC4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1965"/>
    <w:multiLevelType w:val="hybridMultilevel"/>
    <w:tmpl w:val="B7F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1B69"/>
    <w:multiLevelType w:val="hybridMultilevel"/>
    <w:tmpl w:val="9CCE0C4E"/>
    <w:lvl w:ilvl="0" w:tplc="0BD09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578B1"/>
    <w:multiLevelType w:val="hybridMultilevel"/>
    <w:tmpl w:val="CC6E2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93C26"/>
    <w:multiLevelType w:val="hybridMultilevel"/>
    <w:tmpl w:val="5B0A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B287A"/>
    <w:multiLevelType w:val="hybridMultilevel"/>
    <w:tmpl w:val="8684FD12"/>
    <w:lvl w:ilvl="0" w:tplc="E0B62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F67C0"/>
    <w:multiLevelType w:val="hybridMultilevel"/>
    <w:tmpl w:val="EAF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42F7"/>
    <w:multiLevelType w:val="hybridMultilevel"/>
    <w:tmpl w:val="F580C012"/>
    <w:lvl w:ilvl="0" w:tplc="56289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E2D18">
      <w:start w:val="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A60C8">
      <w:start w:val="5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606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48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EF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81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A51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88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B2846"/>
    <w:multiLevelType w:val="hybridMultilevel"/>
    <w:tmpl w:val="7FB0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267BD"/>
    <w:multiLevelType w:val="hybridMultilevel"/>
    <w:tmpl w:val="368A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F3591"/>
    <w:multiLevelType w:val="hybridMultilevel"/>
    <w:tmpl w:val="7766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5666"/>
    <w:multiLevelType w:val="hybridMultilevel"/>
    <w:tmpl w:val="3BC8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F7098"/>
    <w:multiLevelType w:val="hybridMultilevel"/>
    <w:tmpl w:val="8612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649D"/>
    <w:multiLevelType w:val="hybridMultilevel"/>
    <w:tmpl w:val="72E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B574C"/>
    <w:multiLevelType w:val="hybridMultilevel"/>
    <w:tmpl w:val="CA54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94097"/>
    <w:multiLevelType w:val="hybridMultilevel"/>
    <w:tmpl w:val="419E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D6797"/>
    <w:multiLevelType w:val="hybridMultilevel"/>
    <w:tmpl w:val="A324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07556"/>
    <w:multiLevelType w:val="hybridMultilevel"/>
    <w:tmpl w:val="4FCE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18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15"/>
  </w:num>
  <w:num w:numId="13">
    <w:abstractNumId w:val="19"/>
  </w:num>
  <w:num w:numId="14">
    <w:abstractNumId w:val="8"/>
  </w:num>
  <w:num w:numId="15">
    <w:abstractNumId w:val="6"/>
  </w:num>
  <w:num w:numId="16">
    <w:abstractNumId w:val="0"/>
  </w:num>
  <w:num w:numId="17">
    <w:abstractNumId w:val="5"/>
  </w:num>
  <w:num w:numId="18">
    <w:abstractNumId w:val="20"/>
  </w:num>
  <w:num w:numId="19">
    <w:abstractNumId w:val="16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19"/>
    <w:rsid w:val="000002FF"/>
    <w:rsid w:val="00002853"/>
    <w:rsid w:val="0003736F"/>
    <w:rsid w:val="000435C1"/>
    <w:rsid w:val="0004529E"/>
    <w:rsid w:val="00052412"/>
    <w:rsid w:val="000B1EF9"/>
    <w:rsid w:val="000D00DE"/>
    <w:rsid w:val="000D473B"/>
    <w:rsid w:val="000E0B2E"/>
    <w:rsid w:val="000E0C79"/>
    <w:rsid w:val="000F1104"/>
    <w:rsid w:val="0017385C"/>
    <w:rsid w:val="001972C5"/>
    <w:rsid w:val="001C7A32"/>
    <w:rsid w:val="001D2952"/>
    <w:rsid w:val="001E1294"/>
    <w:rsid w:val="00222B45"/>
    <w:rsid w:val="00251D9E"/>
    <w:rsid w:val="00284808"/>
    <w:rsid w:val="002A7CCC"/>
    <w:rsid w:val="002B2625"/>
    <w:rsid w:val="002C644C"/>
    <w:rsid w:val="002D3D77"/>
    <w:rsid w:val="002D4738"/>
    <w:rsid w:val="00305763"/>
    <w:rsid w:val="0031578B"/>
    <w:rsid w:val="00332B6E"/>
    <w:rsid w:val="003538C6"/>
    <w:rsid w:val="003724AF"/>
    <w:rsid w:val="00375CBA"/>
    <w:rsid w:val="004147D4"/>
    <w:rsid w:val="00450414"/>
    <w:rsid w:val="00484383"/>
    <w:rsid w:val="0048705E"/>
    <w:rsid w:val="004B369E"/>
    <w:rsid w:val="004C3332"/>
    <w:rsid w:val="004D5506"/>
    <w:rsid w:val="00592E00"/>
    <w:rsid w:val="00596DC9"/>
    <w:rsid w:val="005B2A16"/>
    <w:rsid w:val="005B3840"/>
    <w:rsid w:val="0062536B"/>
    <w:rsid w:val="006A627C"/>
    <w:rsid w:val="006B314A"/>
    <w:rsid w:val="006E222A"/>
    <w:rsid w:val="006E4550"/>
    <w:rsid w:val="006E492A"/>
    <w:rsid w:val="006E5D27"/>
    <w:rsid w:val="00734F19"/>
    <w:rsid w:val="00760C70"/>
    <w:rsid w:val="007A680C"/>
    <w:rsid w:val="0080697C"/>
    <w:rsid w:val="00831F55"/>
    <w:rsid w:val="008528F7"/>
    <w:rsid w:val="00907656"/>
    <w:rsid w:val="00933353"/>
    <w:rsid w:val="0093790D"/>
    <w:rsid w:val="009B1F45"/>
    <w:rsid w:val="00A53B84"/>
    <w:rsid w:val="00A729EC"/>
    <w:rsid w:val="00A76AE4"/>
    <w:rsid w:val="00A777C7"/>
    <w:rsid w:val="00A93D8C"/>
    <w:rsid w:val="00A95265"/>
    <w:rsid w:val="00AA190E"/>
    <w:rsid w:val="00AE6D25"/>
    <w:rsid w:val="00AF7815"/>
    <w:rsid w:val="00B060D8"/>
    <w:rsid w:val="00B5319D"/>
    <w:rsid w:val="00B60DED"/>
    <w:rsid w:val="00B926E0"/>
    <w:rsid w:val="00B956A0"/>
    <w:rsid w:val="00BA656D"/>
    <w:rsid w:val="00BE38B5"/>
    <w:rsid w:val="00C1064E"/>
    <w:rsid w:val="00C17FB2"/>
    <w:rsid w:val="00C45FB9"/>
    <w:rsid w:val="00C666A1"/>
    <w:rsid w:val="00C82181"/>
    <w:rsid w:val="00CB2301"/>
    <w:rsid w:val="00CC2556"/>
    <w:rsid w:val="00CC6B77"/>
    <w:rsid w:val="00D15472"/>
    <w:rsid w:val="00D22A1E"/>
    <w:rsid w:val="00D51FA2"/>
    <w:rsid w:val="00DC7214"/>
    <w:rsid w:val="00DF2945"/>
    <w:rsid w:val="00DF4967"/>
    <w:rsid w:val="00E221A0"/>
    <w:rsid w:val="00E24EAB"/>
    <w:rsid w:val="00E86CC9"/>
    <w:rsid w:val="00EC735B"/>
    <w:rsid w:val="00F050FA"/>
    <w:rsid w:val="00F139C6"/>
    <w:rsid w:val="00F20E36"/>
    <w:rsid w:val="00FA7E09"/>
    <w:rsid w:val="00F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C038"/>
  <w15:chartTrackingRefBased/>
  <w15:docId w15:val="{940F053F-7F86-431B-B04D-14F7B8C0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19"/>
    <w:pPr>
      <w:ind w:left="720"/>
      <w:contextualSpacing/>
    </w:pPr>
  </w:style>
  <w:style w:type="table" w:styleId="TableGrid">
    <w:name w:val="Table Grid"/>
    <w:basedOn w:val="TableNormal"/>
    <w:uiPriority w:val="39"/>
    <w:rsid w:val="0073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F1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4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F19"/>
  </w:style>
  <w:style w:type="paragraph" w:styleId="BalloonText">
    <w:name w:val="Balloon Text"/>
    <w:basedOn w:val="Normal"/>
    <w:link w:val="BalloonTextChar"/>
    <w:uiPriority w:val="99"/>
    <w:semiHidden/>
    <w:unhideWhenUsed/>
    <w:rsid w:val="00DF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656"/>
  </w:style>
  <w:style w:type="character" w:styleId="CommentReference">
    <w:name w:val="annotation reference"/>
    <w:basedOn w:val="DefaultParagraphFont"/>
    <w:uiPriority w:val="99"/>
    <w:semiHidden/>
    <w:unhideWhenUsed/>
    <w:rsid w:val="00A76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AE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139C6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307">
          <w:marLeft w:val="36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755">
          <w:marLeft w:val="108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380">
          <w:marLeft w:val="180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975">
          <w:marLeft w:val="36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081">
          <w:marLeft w:val="108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763">
          <w:marLeft w:val="180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297">
          <w:marLeft w:val="180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124">
          <w:marLeft w:val="108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157">
          <w:marLeft w:val="180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082">
          <w:marLeft w:val="180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78">
          <w:marLeft w:val="180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07">
          <w:marLeft w:val="108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885">
          <w:marLeft w:val="180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909">
          <w:marLeft w:val="108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18">
          <w:marLeft w:val="180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480">
          <w:marLeft w:val="108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400">
          <w:marLeft w:val="180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ayne.edu/assessment/files/_wsu_program_assessment_practices_feedback_rubric_202106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Fig. 1: </a:t>
            </a:r>
            <a:r>
              <a:rPr lang="en-US" sz="1400" b="1" i="0" u="none" strike="noStrike" baseline="0">
                <a:effectLst/>
              </a:rPr>
              <a:t>AY20-21 Assessment Plan for [PROGRAM]</a:t>
            </a:r>
            <a:endParaRPr lang="en-US" sz="14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All WSU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Overall</c:v>
                </c:pt>
                <c:pt idx="1">
                  <c:v>Report</c:v>
                </c:pt>
                <c:pt idx="2">
                  <c:v>Timeline</c:v>
                </c:pt>
                <c:pt idx="3">
                  <c:v>Action plan</c:v>
                </c:pt>
                <c:pt idx="4">
                  <c:v>Results</c:v>
                </c:pt>
                <c:pt idx="5">
                  <c:v>Method</c:v>
                </c:pt>
                <c:pt idx="6">
                  <c:v>Curriculum map</c:v>
                </c:pt>
                <c:pt idx="7">
                  <c:v>Learning outcomes</c:v>
                </c:pt>
                <c:pt idx="8">
                  <c:v>Mission statement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1.9</c:v>
                </c:pt>
                <c:pt idx="1">
                  <c:v>1.8</c:v>
                </c:pt>
                <c:pt idx="2">
                  <c:v>2.4</c:v>
                </c:pt>
                <c:pt idx="3">
                  <c:v>2.2999999999999998</c:v>
                </c:pt>
                <c:pt idx="4">
                  <c:v>2.5</c:v>
                </c:pt>
                <c:pt idx="5">
                  <c:v>2.4</c:v>
                </c:pt>
                <c:pt idx="6">
                  <c:v>2.1</c:v>
                </c:pt>
                <c:pt idx="7">
                  <c:v>2</c:v>
                </c:pt>
                <c:pt idx="8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83-47AF-B87D-2AC6BD7B03E2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Your program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383-47AF-B87D-2AC6BD7B03E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383-47AF-B87D-2AC6BD7B03E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383-47AF-B87D-2AC6BD7B03E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B383-47AF-B87D-2AC6BD7B03E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B383-47AF-B87D-2AC6BD7B03E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B383-47AF-B87D-2AC6BD7B03E2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B383-47AF-B87D-2AC6BD7B03E2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B383-47AF-B87D-2AC6BD7B03E2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B383-47AF-B87D-2AC6BD7B03E2}"/>
              </c:ext>
            </c:extLst>
          </c:dPt>
          <c:cat>
            <c:strRef>
              <c:f>Sheet1!$A$2:$A$10</c:f>
              <c:strCache>
                <c:ptCount val="9"/>
                <c:pt idx="0">
                  <c:v>Overall</c:v>
                </c:pt>
                <c:pt idx="1">
                  <c:v>Report</c:v>
                </c:pt>
                <c:pt idx="2">
                  <c:v>Timeline</c:v>
                </c:pt>
                <c:pt idx="3">
                  <c:v>Action plan</c:v>
                </c:pt>
                <c:pt idx="4">
                  <c:v>Results</c:v>
                </c:pt>
                <c:pt idx="5">
                  <c:v>Method</c:v>
                </c:pt>
                <c:pt idx="6">
                  <c:v>Curriculum map</c:v>
                </c:pt>
                <c:pt idx="7">
                  <c:v>Learning outcomes</c:v>
                </c:pt>
                <c:pt idx="8">
                  <c:v>Mission statement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1.7</c:v>
                </c:pt>
                <c:pt idx="7">
                  <c:v>2.2000000000000002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383-47AF-B87D-2AC6BD7B03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809800"/>
        <c:axId val="105810192"/>
      </c:barChart>
      <c:catAx>
        <c:axId val="105809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810192"/>
        <c:crosses val="autoZero"/>
        <c:auto val="1"/>
        <c:lblAlgn val="ctr"/>
        <c:lblOffset val="100"/>
        <c:noMultiLvlLbl val="0"/>
      </c:catAx>
      <c:valAx>
        <c:axId val="105810192"/>
        <c:scaling>
          <c:orientation val="minMax"/>
          <c:max val="3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solidFill>
                      <a:sysClr val="windowText" lastClr="000000"/>
                    </a:solidFill>
                    <a:effectLst/>
                  </a:rPr>
                  <a:t>Not submitted             </a:t>
                </a:r>
                <a:r>
                  <a:rPr lang="en-US" sz="1000" b="1" i="0" u="none" strike="noStrike" baseline="0">
                    <a:solidFill>
                      <a:srgbClr val="FF0000"/>
                    </a:solidFill>
                    <a:effectLst/>
                  </a:rPr>
                  <a:t>Needs development             </a:t>
                </a:r>
                <a:r>
                  <a:rPr lang="en-US" sz="1000" b="1" i="0" u="none" strike="noStrike" baseline="0">
                    <a:solidFill>
                      <a:srgbClr val="FFC000"/>
                    </a:solidFill>
                    <a:effectLst/>
                  </a:rPr>
                  <a:t>Meets standards           </a:t>
                </a:r>
                <a:r>
                  <a:rPr lang="en-US" sz="1000" b="1" baseline="0">
                    <a:solidFill>
                      <a:srgbClr val="00B050"/>
                    </a:solidFill>
                  </a:rPr>
                  <a:t>Reflects best practices</a:t>
                </a:r>
                <a:endParaRPr lang="en-US" sz="1000" b="1" baseline="0">
                  <a:solidFill>
                    <a:srgbClr val="FF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1793170731707317"/>
              <c:y val="0.885714259810787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crossAx val="105809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Marie Barrette</dc:creator>
  <cp:keywords/>
  <dc:description/>
  <cp:lastModifiedBy>Reviewer</cp:lastModifiedBy>
  <cp:revision>4</cp:revision>
  <cp:lastPrinted>2016-07-20T19:26:00Z</cp:lastPrinted>
  <dcterms:created xsi:type="dcterms:W3CDTF">2021-08-09T18:08:00Z</dcterms:created>
  <dcterms:modified xsi:type="dcterms:W3CDTF">2021-08-09T18:21:00Z</dcterms:modified>
</cp:coreProperties>
</file>